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sz w:val="28"/>
          <w:szCs w:val="20"/>
        </w:rPr>
      </w:pPr>
      <w:r>
        <w:rPr>
          <w:rFonts w:cs="Arial" w:ascii="Arial" w:hAnsi="Arial"/>
          <w:b/>
          <w:sz w:val="28"/>
        </w:rPr>
        <w:t>SMLOUVA O DÍLO</w:t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</w:rPr>
        <w:t>Uzavřená podle občanského zákoníku č. 89/2012 Sb., dle ust. § 2586 až 2630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eastAsia="Arial" w:cs="Arial" w:ascii="Arial" w:hAnsi="Arial"/>
        </w:rPr>
        <w:t xml:space="preserve">                                                         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b/>
        </w:rPr>
        <w:t>OBJEDNATEL</w:t>
      </w:r>
      <w:r>
        <w:rPr>
          <w:rFonts w:cs="Arial" w:ascii="Arial" w:hAnsi="Arial"/>
        </w:rPr>
        <w:t>:</w:t>
        <w:tab/>
        <w:t xml:space="preserve">Obec Hamr na Jezeře, zastoupená 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eastAsia="Arial" w:cs="Arial" w:ascii="Arial" w:hAnsi="Arial"/>
        </w:rPr>
        <w:t xml:space="preserve">                            </w:t>
      </w:r>
      <w:r>
        <w:rPr>
          <w:rFonts w:cs="Arial" w:ascii="Arial" w:hAnsi="Arial"/>
        </w:rPr>
        <w:tab/>
        <w:t>Milanem Dvořákem, starostou obce</w:t>
      </w:r>
    </w:p>
    <w:p>
      <w:pPr>
        <w:pStyle w:val="Nadpis1"/>
        <w:numPr>
          <w:ilvl w:val="0"/>
          <w:numId w:val="2"/>
        </w:numPr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                  </w:t>
      </w:r>
      <w:r>
        <w:rPr>
          <w:rFonts w:cs="Arial" w:ascii="Arial" w:hAnsi="Arial"/>
        </w:rPr>
        <w:tab/>
        <w:t>se sídlem Děvínská 1, 471 28 Hamr na Jezeře</w:t>
      </w:r>
    </w:p>
    <w:p>
      <w:pPr>
        <w:pStyle w:val="Nadpis1"/>
        <w:numPr>
          <w:ilvl w:val="0"/>
          <w:numId w:val="2"/>
        </w:numPr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                  </w:t>
      </w:r>
      <w:r>
        <w:rPr>
          <w:rFonts w:cs="Arial" w:ascii="Arial" w:hAnsi="Arial"/>
        </w:rPr>
        <w:tab/>
        <w:t xml:space="preserve">IČ: 006 73 498 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eastAsia="Arial" w:cs="Arial" w:ascii="Arial" w:hAnsi="Arial"/>
        </w:rPr>
        <w:t xml:space="preserve">                            </w:t>
      </w:r>
      <w:r>
        <w:rPr>
          <w:rFonts w:cs="Arial" w:ascii="Arial" w:hAnsi="Arial"/>
        </w:rPr>
        <w:tab/>
        <w:t xml:space="preserve">Bank. spojení Česká spořitelna, a.s., 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eastAsia="Arial" w:cs="Arial" w:ascii="Arial" w:hAnsi="Arial"/>
        </w:rPr>
        <w:t xml:space="preserve">                            </w:t>
      </w:r>
      <w:r>
        <w:rPr>
          <w:rFonts w:cs="Arial" w:ascii="Arial" w:hAnsi="Arial"/>
        </w:rPr>
        <w:tab/>
        <w:t>č. účtu: 903415389/0800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eastAsia="Arial" w:cs="Arial" w:ascii="Arial" w:hAnsi="Arial"/>
        </w:rPr>
        <w:t xml:space="preserve">   </w:t>
      </w:r>
      <w:r>
        <w:rPr>
          <w:rFonts w:cs="Arial" w:ascii="Arial" w:hAnsi="Arial"/>
        </w:rPr>
        <w:tab/>
        <w:tab/>
        <w:tab/>
        <w:t>(dále jen objednatel) na straně jedné</w:t>
      </w:r>
    </w:p>
    <w:p>
      <w:pPr>
        <w:pStyle w:val="Nadpis1"/>
        <w:numPr>
          <w:ilvl w:val="0"/>
          <w:numId w:val="2"/>
        </w:numPr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color w:val="FF0000"/>
          <w:szCs w:val="20"/>
        </w:rPr>
      </w:pPr>
      <w:r>
        <w:rPr>
          <w:rFonts w:cs="Arial" w:ascii="Arial" w:hAnsi="Arial"/>
          <w:b/>
        </w:rPr>
        <w:t>ZHOTOVITEL</w:t>
      </w:r>
      <w:r>
        <w:rPr>
          <w:rFonts w:cs="Arial" w:ascii="Arial" w:hAnsi="Arial"/>
        </w:rPr>
        <w:t>:</w:t>
        <w:tab/>
      </w:r>
      <w:r>
        <w:rPr>
          <w:rFonts w:cs="Arial" w:ascii="Arial" w:hAnsi="Arial"/>
          <w:b/>
          <w:color w:val="FF0000"/>
        </w:rPr>
        <w:t>…………………………………………...</w:t>
      </w:r>
    </w:p>
    <w:p>
      <w:pPr>
        <w:pStyle w:val="Normal"/>
        <w:rPr>
          <w:rFonts w:ascii="Arial" w:hAnsi="Arial" w:cs="Arial"/>
          <w:color w:val="FF0000"/>
        </w:rPr>
      </w:pPr>
      <w:r>
        <w:rPr>
          <w:rFonts w:cs="Arial" w:ascii="Arial" w:hAnsi="Arial"/>
          <w:color w:val="FF0000"/>
        </w:rPr>
        <w:tab/>
        <w:t xml:space="preserve">                       se sídlem : ……………………………….</w:t>
      </w:r>
    </w:p>
    <w:p>
      <w:pPr>
        <w:pStyle w:val="Normal"/>
        <w:rPr>
          <w:rFonts w:ascii="Arial" w:hAnsi="Arial" w:cs="Arial"/>
          <w:color w:val="FF0000"/>
        </w:rPr>
      </w:pPr>
      <w:r>
        <w:rPr>
          <w:rFonts w:eastAsia="Arial" w:cs="Arial" w:ascii="Arial" w:hAnsi="Arial"/>
          <w:color w:val="FF0000"/>
        </w:rPr>
        <w:t xml:space="preserve">                                   </w:t>
      </w:r>
      <w:r>
        <w:rPr>
          <w:rFonts w:cs="Arial" w:ascii="Arial" w:hAnsi="Arial"/>
          <w:color w:val="FF0000"/>
        </w:rPr>
        <w:t>IČ:……………………………………….</w:t>
      </w:r>
    </w:p>
    <w:p>
      <w:pPr>
        <w:pStyle w:val="Normal"/>
        <w:rPr>
          <w:rFonts w:ascii="Arial" w:hAnsi="Arial" w:cs="Arial"/>
          <w:color w:val="FF0000"/>
        </w:rPr>
      </w:pPr>
      <w:r>
        <w:rPr>
          <w:rFonts w:eastAsia="Arial" w:cs="Arial" w:ascii="Arial" w:hAnsi="Arial"/>
          <w:color w:val="FF0000"/>
        </w:rPr>
        <w:t xml:space="preserve">                                   </w:t>
      </w:r>
      <w:r>
        <w:rPr>
          <w:rFonts w:cs="Arial" w:ascii="Arial" w:hAnsi="Arial"/>
          <w:color w:val="FF0000"/>
        </w:rPr>
        <w:t>Bank Spojení ……………………………</w:t>
      </w:r>
    </w:p>
    <w:p>
      <w:pPr>
        <w:pStyle w:val="Normal"/>
        <w:rPr>
          <w:rFonts w:ascii="Arial" w:hAnsi="Arial" w:cs="Arial"/>
          <w:color w:val="FF0000"/>
          <w:szCs w:val="20"/>
        </w:rPr>
      </w:pPr>
      <w:r>
        <w:rPr>
          <w:rFonts w:eastAsia="Arial" w:cs="Arial" w:ascii="Arial" w:hAnsi="Arial"/>
          <w:color w:val="FF0000"/>
        </w:rPr>
        <w:t xml:space="preserve">                                   </w:t>
      </w:r>
      <w:r>
        <w:rPr>
          <w:rFonts w:cs="Arial" w:ascii="Arial" w:hAnsi="Arial"/>
          <w:color w:val="FF0000"/>
        </w:rPr>
        <w:t>Č.účtu …………………………………...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color w:val="FF0000"/>
        </w:rPr>
        <w:tab/>
        <w:t xml:space="preserve">                       </w:t>
      </w:r>
      <w:r>
        <w:rPr>
          <w:rFonts w:cs="Arial" w:ascii="Arial" w:hAnsi="Arial"/>
        </w:rPr>
        <w:t>(dále jen zhotovitel) na</w:t>
      </w:r>
      <w:r>
        <w:rPr>
          <w:rFonts w:cs="Arial" w:ascii="Arial" w:hAnsi="Arial"/>
          <w:szCs w:val="20"/>
        </w:rPr>
        <w:t xml:space="preserve"> straně druhé 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adpis1"/>
        <w:numPr>
          <w:ilvl w:val="0"/>
          <w:numId w:val="2"/>
        </w:numPr>
        <w:rPr>
          <w:rFonts w:ascii="Arial" w:hAnsi="Arial" w:cs="Arial"/>
          <w:color w:val="0000FF"/>
          <w:szCs w:val="20"/>
        </w:rPr>
      </w:pPr>
      <w:r>
        <w:rPr>
          <w:rFonts w:cs="Arial" w:ascii="Arial" w:hAnsi="Arial"/>
          <w:color w:val="0000FF"/>
          <w:szCs w:val="20"/>
        </w:rPr>
      </w:r>
    </w:p>
    <w:p>
      <w:pPr>
        <w:pStyle w:val="Normal"/>
        <w:rPr>
          <w:rFonts w:ascii="Arial" w:hAnsi="Arial" w:cs="Arial"/>
          <w:color w:val="0000FF"/>
          <w:szCs w:val="20"/>
        </w:rPr>
      </w:pPr>
      <w:r>
        <w:rPr>
          <w:rFonts w:cs="Arial" w:ascii="Arial" w:hAnsi="Arial"/>
          <w:color w:val="0000FF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i/>
          <w:sz w:val="36"/>
          <w:szCs w:val="36"/>
        </w:rPr>
        <w:t>S m l o u v u   o   d í l o</w:t>
      </w:r>
    </w:p>
    <w:p>
      <w:pPr>
        <w:pStyle w:val="Normal"/>
        <w:jc w:val="center"/>
        <w:rPr>
          <w:rFonts w:ascii="Arial" w:hAnsi="Arial" w:cs="Arial"/>
          <w:b/>
          <w:b/>
          <w:i/>
          <w:i/>
          <w:sz w:val="36"/>
          <w:szCs w:val="20"/>
        </w:rPr>
      </w:pPr>
      <w:r>
        <w:rPr>
          <w:rFonts w:cs="Arial" w:ascii="Arial" w:hAnsi="Arial"/>
          <w:b/>
          <w:i/>
          <w:sz w:val="36"/>
          <w:szCs w:val="20"/>
        </w:rPr>
      </w:r>
    </w:p>
    <w:p>
      <w:pPr>
        <w:pStyle w:val="Normal"/>
        <w:jc w:val="center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I.</w:t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PŘEDMĚT DÍLA</w:t>
      </w:r>
    </w:p>
    <w:p>
      <w:pPr>
        <w:pStyle w:val="Normal"/>
        <w:numPr>
          <w:ilvl w:val="0"/>
          <w:numId w:val="5"/>
        </w:numPr>
        <w:ind w:left="284" w:hanging="284"/>
        <w:jc w:val="both"/>
        <w:rPr/>
      </w:pPr>
      <w:r>
        <w:rPr>
          <w:rFonts w:cs="Arial" w:ascii="Arial" w:hAnsi="Arial"/>
        </w:rPr>
        <w:t xml:space="preserve">Předmětem Smlouvy je závazek Zhotovitele provést stavbu: </w:t>
      </w:r>
      <w:r>
        <w:rPr>
          <w:rFonts w:cs="Arial" w:ascii="Arial" w:hAnsi="Arial"/>
          <w:b/>
        </w:rPr>
        <w:t>„</w:t>
      </w:r>
      <w:r>
        <w:rPr>
          <w:rFonts w:cs="Arial" w:ascii="Tahoma-Bold" w:hAnsi="Tahoma-Bold"/>
          <w:b/>
          <w:sz w:val="22"/>
        </w:rPr>
        <w:t>Souvislá údržba MK na p.č. 889, 890 a 957 KÚ Břevniště pod Ralskem</w:t>
      </w:r>
      <w:r>
        <w:rPr>
          <w:rFonts w:cs="Arial" w:ascii="Arial" w:hAnsi="Arial"/>
          <w:b/>
        </w:rPr>
        <w:t xml:space="preserve">“ </w:t>
      </w:r>
      <w:r>
        <w:rPr>
          <w:rFonts w:cs="Arial" w:ascii="Arial" w:hAnsi="Arial"/>
        </w:rPr>
        <w:t xml:space="preserve">v souladu s podmínkami a termíny této Smlouvy a v souladu s platnými technickými normami (dle zákona č. 22/1997 Sb., v platném znění a nařízení vlády 190/2002 Sb., a 163/2002 Sb.), předpisy a zákony České republiky. Stavba bude provedena dle rozpočtu, který je přílohou smlouvy.    </w:t>
      </w:r>
    </w:p>
    <w:p>
      <w:pPr>
        <w:pStyle w:val="Tlotextu"/>
        <w:ind w:left="-360" w:hanging="0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Normal"/>
        <w:tabs>
          <w:tab w:val="clear" w:pos="708"/>
          <w:tab w:val="left" w:pos="360" w:leader="none"/>
        </w:tabs>
        <w:ind w:hanging="720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II.</w:t>
      </w:r>
    </w:p>
    <w:p>
      <w:pPr>
        <w:pStyle w:val="Normal"/>
        <w:tabs>
          <w:tab w:val="clear" w:pos="708"/>
          <w:tab w:val="left" w:pos="360" w:leader="none"/>
        </w:tabs>
        <w:ind w:hanging="720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CENA DÍLA</w:t>
      </w:r>
    </w:p>
    <w:p>
      <w:pPr>
        <w:pStyle w:val="Odsazentlatextu"/>
        <w:numPr>
          <w:ilvl w:val="0"/>
          <w:numId w:val="4"/>
        </w:numPr>
        <w:tabs>
          <w:tab w:val="clear" w:pos="708"/>
          <w:tab w:val="left" w:pos="360" w:leader="none"/>
        </w:tabs>
        <w:ind w:left="360" w:hanging="360"/>
        <w:rPr>
          <w:rFonts w:ascii="Arial" w:hAnsi="Arial" w:cs="Arial"/>
        </w:rPr>
      </w:pPr>
      <w:r>
        <w:rPr>
          <w:rFonts w:cs="Arial" w:ascii="Arial" w:hAnsi="Arial"/>
        </w:rPr>
        <w:t>Objednatel se zavazuje zaplatit zhotoviteli cenu díla, která se stanoví smluvně za podmínek zákona o cenách celkovou částkou ve výši:</w:t>
      </w:r>
    </w:p>
    <w:p>
      <w:pPr>
        <w:pStyle w:val="Odsazentlatextu"/>
        <w:ind w:left="360" w:hanging="0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10642" w:type="dxa"/>
        <w:jc w:val="left"/>
        <w:tblInd w:w="-81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25" w:type="dxa"/>
          <w:bottom w:w="0" w:type="dxa"/>
          <w:right w:w="30" w:type="dxa"/>
        </w:tblCellMar>
      </w:tblPr>
      <w:tblGrid>
        <w:gridCol w:w="2692"/>
        <w:gridCol w:w="1701"/>
        <w:gridCol w:w="1275"/>
        <w:gridCol w:w="1276"/>
        <w:gridCol w:w="426"/>
        <w:gridCol w:w="1560"/>
        <w:gridCol w:w="1711"/>
      </w:tblGrid>
      <w:tr>
        <w:trPr>
          <w:trHeight w:val="406" w:hRule="atLeast"/>
          <w:cantSplit w:val="true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92D050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Část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92D050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Cena bez DPH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92D050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DPH 21 %</w:t>
            </w: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92D050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Cena s DPH</w:t>
            </w:r>
          </w:p>
        </w:tc>
      </w:tr>
      <w:tr>
        <w:trPr>
          <w:trHeight w:val="391" w:hRule="atLeast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cs="Arial" w:ascii="Tahoma-Bold" w:hAnsi="Tahoma-Bold"/>
                <w:b/>
                <w:sz w:val="22"/>
              </w:rPr>
              <w:t>Souvislá údržba MK na p.č. 889, 890 a 957 KÚ Břevniště pod Ralskem</w:t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right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Kč bez DPH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Kč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 xml:space="preserve">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Kč včetně DPH</w:t>
            </w:r>
          </w:p>
        </w:tc>
      </w:tr>
    </w:tbl>
    <w:p>
      <w:pPr>
        <w:pStyle w:val="Odsazentlatextu"/>
        <w:ind w:left="360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Odsazentlatextu"/>
        <w:ind w:left="360" w:hanging="0"/>
        <w:rPr/>
      </w:pPr>
      <w:r>
        <w:rPr>
          <w:rFonts w:cs="Arial" w:ascii="Arial" w:hAnsi="Arial"/>
        </w:rPr>
        <w:t xml:space="preserve">Tato cena je stanovena jako cena maximální.  </w:t>
      </w:r>
    </w:p>
    <w:p>
      <w:pPr>
        <w:pStyle w:val="Odsazentlatextu"/>
        <w:ind w:left="360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360" w:leader="none"/>
        </w:tabs>
        <w:ind w:left="360" w:hanging="360"/>
        <w:jc w:val="both"/>
        <w:rPr>
          <w:rFonts w:ascii="Arial" w:hAnsi="Arial" w:cs="Arial"/>
          <w:i/>
          <w:i/>
        </w:rPr>
      </w:pPr>
      <w:r>
        <w:rPr>
          <w:rStyle w:val="Zdraznn"/>
          <w:rFonts w:cs="Arial" w:ascii="Arial" w:hAnsi="Arial"/>
          <w:bCs/>
          <w:i w:val="false"/>
        </w:rPr>
        <w:t>Objednatel prohlašuje, že výše uvedený předmět plnění není používán k ekonomické činnosti, ale pro potřeby související výlučně s činností při výkonu veřejné správy, a proto ve smyslu informace GFŘ a MFČR ze dne 9.11.2011 nebude aplikován režim přenesení daňové povinnosti podle § 92e zákona o DPH.</w:t>
      </w:r>
    </w:p>
    <w:p>
      <w:pPr>
        <w:pStyle w:val="Normal"/>
        <w:ind w:left="360" w:hanging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360" w:leader="none"/>
        </w:tabs>
        <w:ind w:left="360" w:hanging="360"/>
        <w:jc w:val="both"/>
        <w:rPr>
          <w:rFonts w:ascii="Arial" w:hAnsi="Arial" w:cs="Arial"/>
        </w:rPr>
      </w:pPr>
      <w:r>
        <w:rPr>
          <w:rFonts w:cs="Arial" w:ascii="Arial" w:hAnsi="Arial"/>
        </w:rPr>
        <w:t>Smluvní cena je včetně DPH splatná objednatelem do 30 dnů po převzetí faktury a předchozím převzetí smluveného díla.</w:t>
      </w:r>
    </w:p>
    <w:p>
      <w:pPr>
        <w:pStyle w:val="Normal"/>
        <w:ind w:left="36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360" w:leader="none"/>
        </w:tabs>
        <w:ind w:left="360" w:hanging="360"/>
        <w:jc w:val="both"/>
        <w:rPr>
          <w:rFonts w:ascii="Arial" w:hAnsi="Arial" w:cs="Arial"/>
        </w:rPr>
      </w:pPr>
      <w:r>
        <w:rPr>
          <w:rFonts w:cs="Arial" w:ascii="Arial" w:hAnsi="Arial"/>
          <w:bCs/>
        </w:rPr>
        <w:t>Změna ceny je možná pouze v případech kdy</w:t>
      </w:r>
      <w:r>
        <w:rPr>
          <w:rFonts w:cs="Arial" w:ascii="Arial" w:hAnsi="Arial"/>
        </w:rPr>
        <w:t>:</w:t>
      </w:r>
      <w:r>
        <w:rPr>
          <w:rFonts w:cs="Arial" w:ascii="Arial" w:hAnsi="Arial"/>
          <w:bCs/>
        </w:rPr>
        <w:t xml:space="preserve"> </w:t>
      </w:r>
    </w:p>
    <w:p>
      <w:pPr>
        <w:pStyle w:val="Normal"/>
        <w:numPr>
          <w:ilvl w:val="0"/>
          <w:numId w:val="3"/>
        </w:numPr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objednatel bude požadovat provedení jiných prací než těch, které jsou uvedeny v zadávací dokumentaci, </w:t>
      </w:r>
    </w:p>
    <w:p>
      <w:pPr>
        <w:pStyle w:val="Normal"/>
        <w:numPr>
          <w:ilvl w:val="0"/>
          <w:numId w:val="3"/>
        </w:numPr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objednatel bude požadovat jinou kvalitu prací nebo dodávek, než jaká je uvedena v zadávací dokumentaci, </w:t>
      </w:r>
    </w:p>
    <w:p>
      <w:pPr>
        <w:pStyle w:val="Normal"/>
        <w:numPr>
          <w:ilvl w:val="0"/>
          <w:numId w:val="3"/>
        </w:numPr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v průběhu stavby dojde ke změnám sazeb daně z přidané hodnoty,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360" w:leader="none"/>
        </w:tabs>
        <w:ind w:left="360" w:hanging="36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Faktura bude vyhotovena ve dvou originálech a přesného uvedení místa provedeného díla. Na dílo neposkytujeme zálohy.</w:t>
      </w:r>
    </w:p>
    <w:p>
      <w:pPr>
        <w:pStyle w:val="Normal"/>
        <w:ind w:left="360" w:hanging="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left="360" w:hanging="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left="360" w:hanging="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III.</w:t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DOBA PLNĚNÍ</w:t>
      </w:r>
    </w:p>
    <w:p>
      <w:pPr>
        <w:pStyle w:val="Normal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360" w:leader="none"/>
        </w:tabs>
        <w:ind w:left="360" w:hanging="360"/>
        <w:jc w:val="both"/>
        <w:rPr/>
      </w:pPr>
      <w:r>
        <w:rPr>
          <w:rFonts w:cs="Arial" w:ascii="Arial" w:hAnsi="Arial"/>
        </w:rPr>
        <w:t xml:space="preserve">Zhotovitel se zavazuje dílo dle této smlouvy zhotovit a objednateli řádně předat nejdéle do </w:t>
      </w:r>
      <w:r>
        <w:rPr>
          <w:rFonts w:cs="Arial" w:ascii="Arial" w:hAnsi="Arial"/>
          <w:b/>
        </w:rPr>
        <w:t xml:space="preserve">31. 07. 2020  </w:t>
      </w:r>
    </w:p>
    <w:p>
      <w:pPr>
        <w:pStyle w:val="Normal"/>
        <w:ind w:left="360" w:hanging="0"/>
        <w:jc w:val="both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360" w:leader="none"/>
        </w:tabs>
        <w:ind w:left="360" w:hanging="36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Objednatel v rámci včasného zhotovení díla zajistí zhotoviteli přístup k předmětu díla.</w:t>
      </w:r>
    </w:p>
    <w:p>
      <w:pPr>
        <w:pStyle w:val="Normal"/>
        <w:ind w:left="360" w:hanging="360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left="360" w:hanging="360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left="360" w:hanging="360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left="360" w:hanging="360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IV.</w:t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ODPOVĚDNOST ZHOTOVITELE ZA VADY DÍLA A ZÁRUKA</w:t>
      </w:r>
    </w:p>
    <w:p>
      <w:pPr>
        <w:pStyle w:val="Normal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numPr>
          <w:ilvl w:val="0"/>
          <w:numId w:val="7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Zhotovitel odpovídá za bezzávadnost díla a jeho řádné provedení, zejména v souladu s požadavky objednatele.</w:t>
      </w:r>
    </w:p>
    <w:p>
      <w:pPr>
        <w:pStyle w:val="Normal"/>
        <w:numPr>
          <w:ilvl w:val="0"/>
          <w:numId w:val="7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Zhotovitel poskytuje objednateli smluvní záruku za bezzávadnost díla v délce 60 měsíců. V průběhu záruční doby má objednatel právo eventuální vady reklamovat a zhotovitel je povinen nejdéle do 30 dnů reklamaci vyřídit nebo se dohodnout na jiném termínu dle počasí. V případě, že nebude do tohoto termínu realizované bezplatné odstranění vady na předmětu díla, zavazuje se zhotovitel uhradit sankci ve výši 0,5 % z ceny předmětu díla za každý další započatý den prodlení s opravou reklamované vady, počínaje dnem prokazatelného oznámení.</w:t>
      </w:r>
    </w:p>
    <w:p>
      <w:pPr>
        <w:pStyle w:val="Normal"/>
        <w:numPr>
          <w:ilvl w:val="0"/>
          <w:numId w:val="7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 xml:space="preserve">Objednatel si vyhrazuje 6 měsíců před uplynutím záruční lhůty provedení kontrolní prohlídky předmětu díla. Zhotovitel se zavazuje této prohlídky zajistit součinnost s objednatelem a ve spolupráci s objednatelem dohodnout způsob a termín odstranění vad. O provedené kontrolní prohlídce bude proveden zápis. </w:t>
      </w:r>
    </w:p>
    <w:p>
      <w:pPr>
        <w:pStyle w:val="Normal"/>
        <w:ind w:left="360" w:hanging="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  <w:r>
        <w:br w:type="page"/>
      </w:r>
    </w:p>
    <w:p>
      <w:pPr>
        <w:pStyle w:val="Normal"/>
        <w:jc w:val="center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V.</w:t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PRÁVA A POVINNOSTI SMLUVNÍCH STRAN</w:t>
      </w:r>
    </w:p>
    <w:p>
      <w:pPr>
        <w:pStyle w:val="Normal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 xml:space="preserve">Dnem nabytí účinnosti této smlouvy je zhotovitel povinen po dobu prací zamezit vstup na pracoviště nepovolaným osobám. </w:t>
      </w:r>
    </w:p>
    <w:p>
      <w:pPr>
        <w:pStyle w:val="Normal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Zhotovitel je povinen udržovat staveniště ve stavu zabraňujícím vzniku případných škod na majetku objednatele, případně na sousedících pozemcích, nemovitostech. Pokud by k tomu došlo, neprodleně odstraní zhotovitel škodu na vlastní náklady.</w:t>
      </w:r>
    </w:p>
    <w:p>
      <w:pPr>
        <w:pStyle w:val="Normal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Zhotovitel je povinen staveniště vyklidit ve lhůtě do 5 dní po dokončení díla a předat je objednateli.</w:t>
      </w:r>
    </w:p>
    <w:p>
      <w:pPr>
        <w:pStyle w:val="Normal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Zhotovitel prohlašuje, že při provádění prací dodrží příslušné bezpečnostní předpisy.</w:t>
      </w:r>
    </w:p>
    <w:p>
      <w:pPr>
        <w:pStyle w:val="Normal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Objednatel je oprávněn kontrolovat průběžně provádění díla. Pokud zjistí, že zhotovitel neprovádí dílo dle povinností vyplývajících z této smlouvy, zejména v případě skluzu nebo zjištění vad díla, je oprávněn žádat zhotovitele o odstranění zjištěných nedostatků.</w:t>
      </w:r>
    </w:p>
    <w:p>
      <w:pPr>
        <w:pStyle w:val="Normal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  <w:t>Kontrolou stavby bude OÚ Hamr na Jezeře pověřena osoba, která bude sdělena před zahájením stavby.</w:t>
      </w:r>
    </w:p>
    <w:p>
      <w:pPr>
        <w:pStyle w:val="Normal"/>
        <w:numPr>
          <w:ilvl w:val="0"/>
          <w:numId w:val="8"/>
        </w:numPr>
        <w:jc w:val="both"/>
        <w:rPr/>
      </w:pPr>
      <w:r>
        <w:rPr>
          <w:rFonts w:cs="Arial" w:ascii="Arial" w:hAnsi="Arial"/>
          <w:szCs w:val="20"/>
        </w:rPr>
        <w:t>Za zhotovitele je pověřen k jednání s objednatelem:</w:t>
      </w:r>
    </w:p>
    <w:p>
      <w:pPr>
        <w:pStyle w:val="Normal"/>
        <w:ind w:left="360" w:hanging="0"/>
        <w:jc w:val="both"/>
        <w:rPr>
          <w:rFonts w:ascii="Arial" w:hAnsi="Arial" w:cs="Arial"/>
          <w:color w:val="FF0000"/>
          <w:szCs w:val="20"/>
        </w:rPr>
      </w:pPr>
      <w:r>
        <w:rPr>
          <w:rFonts w:cs="Arial" w:ascii="Arial" w:hAnsi="Arial"/>
          <w:color w:val="FF0000"/>
          <w:szCs w:val="20"/>
        </w:rPr>
        <w:t>………………………</w:t>
      </w:r>
      <w:r>
        <w:rPr>
          <w:rFonts w:cs="Arial" w:ascii="Arial" w:hAnsi="Arial"/>
          <w:color w:val="FF0000"/>
          <w:szCs w:val="20"/>
        </w:rPr>
        <w:t>., mob.tel.: ………….…….., e-mail …………..…………</w:t>
      </w:r>
    </w:p>
    <w:p>
      <w:pPr>
        <w:pStyle w:val="Normal"/>
        <w:ind w:left="360" w:hanging="0"/>
        <w:jc w:val="both"/>
        <w:rPr/>
      </w:pPr>
      <w:r>
        <w:rPr>
          <w:rFonts w:cs="Arial" w:ascii="Arial" w:hAnsi="Arial"/>
          <w:color w:val="FF0000"/>
          <w:szCs w:val="20"/>
        </w:rPr>
        <w:t>………………………</w:t>
      </w:r>
      <w:r>
        <w:rPr>
          <w:rFonts w:cs="Arial" w:ascii="Arial" w:hAnsi="Arial"/>
          <w:color w:val="FF0000"/>
          <w:szCs w:val="20"/>
        </w:rPr>
        <w:t>., mob.tel.: ………….…….., e-mail …………..…………</w:t>
      </w:r>
    </w:p>
    <w:p>
      <w:pPr>
        <w:pStyle w:val="Normal"/>
        <w:rPr>
          <w:rFonts w:ascii="Arial" w:hAnsi="Arial" w:cs="Arial"/>
          <w:color w:val="FF0000"/>
          <w:szCs w:val="20"/>
        </w:rPr>
      </w:pPr>
      <w:r>
        <w:rPr>
          <w:rFonts w:cs="Arial" w:ascii="Arial" w:hAnsi="Arial"/>
          <w:color w:val="FF0000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VI.</w:t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SPLNĚNÍ ZÁVAZKU ZHOTOVITELE</w:t>
      </w:r>
    </w:p>
    <w:p>
      <w:pPr>
        <w:pStyle w:val="Normal"/>
        <w:jc w:val="both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numPr>
          <w:ilvl w:val="0"/>
          <w:numId w:val="9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 xml:space="preserve">Zhotovitel je povinen alespoň 1 týden předem vyzvat objednatele k předání a převzetí díla. </w:t>
      </w:r>
    </w:p>
    <w:p>
      <w:pPr>
        <w:pStyle w:val="Normal"/>
        <w:numPr>
          <w:ilvl w:val="0"/>
          <w:numId w:val="9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Předání a převzetí se uskuteční v místě plnění. Řádné předání a převzetí, jehož součástí je vytknutí případných vad a nedodělků díla, se zaznamená v zápise o převzetí, který musí být podepsán oprávněnými zástupci obou smluvních stran.</w:t>
      </w:r>
    </w:p>
    <w:p>
      <w:pPr>
        <w:pStyle w:val="Normal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VII.</w:t>
      </w:r>
    </w:p>
    <w:p>
      <w:pPr>
        <w:pStyle w:val="Normal"/>
        <w:jc w:val="center"/>
        <w:rPr>
          <w:rFonts w:ascii="Arial" w:hAnsi="Arial" w:cs="Arial"/>
          <w:szCs w:val="20"/>
        </w:rPr>
      </w:pPr>
      <w:r>
        <w:rPr>
          <w:rFonts w:cs="Arial" w:ascii="Arial" w:hAnsi="Arial"/>
          <w:b/>
        </w:rPr>
        <w:t>SMLUVNÍ POKUTY</w:t>
      </w:r>
    </w:p>
    <w:p>
      <w:pPr>
        <w:pStyle w:val="Normal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numPr>
          <w:ilvl w:val="0"/>
          <w:numId w:val="10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Zhotovitel je povinen zaplatit objednateli smluvní pokuty v případě nedodržení povinností vyplývajících z této smlouvy:</w:t>
      </w:r>
    </w:p>
    <w:p>
      <w:pPr>
        <w:pStyle w:val="Normal"/>
        <w:numPr>
          <w:ilvl w:val="1"/>
          <w:numId w:val="10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Pokutu ve výši 0,05% z celkové ceny díla za každý započatý den prodlení s předáním poslední části díla dle bodu III.</w:t>
      </w:r>
    </w:p>
    <w:p>
      <w:pPr>
        <w:pStyle w:val="Normal"/>
        <w:numPr>
          <w:ilvl w:val="1"/>
          <w:numId w:val="10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Za nevyklizení a nepředání staveniště dle bodu V/3 1000,- Kč za každý započatý týden prodlení.</w:t>
      </w:r>
    </w:p>
    <w:p>
      <w:pPr>
        <w:pStyle w:val="Normal"/>
        <w:numPr>
          <w:ilvl w:val="0"/>
          <w:numId w:val="10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Objednatel je povinen zaplatit zhotoviteli smluvní pokuty v případě nedodržení svých povinností, vyplývajících z této smlouvy:</w:t>
      </w:r>
    </w:p>
    <w:p>
      <w:pPr>
        <w:pStyle w:val="Normal"/>
        <w:numPr>
          <w:ilvl w:val="1"/>
          <w:numId w:val="10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Za každý den prodlení s platbami dle bodu II. ve výši 0,05% z fakturované částky,</w:t>
      </w:r>
    </w:p>
    <w:p>
      <w:pPr>
        <w:pStyle w:val="Normal"/>
        <w:jc w:val="both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jc w:val="both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jc w:val="both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VIII.</w:t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OSTATNÍ UJEDNÁNÍ</w:t>
      </w:r>
    </w:p>
    <w:p>
      <w:pPr>
        <w:pStyle w:val="Normal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numPr>
          <w:ilvl w:val="0"/>
          <w:numId w:val="11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Obsah této smlouvy je možné změnit nebo doplnit pouze písemným dodatkem odsouhlaseným oběma smluvními stranami.</w:t>
      </w:r>
    </w:p>
    <w:p>
      <w:pPr>
        <w:pStyle w:val="Normal"/>
        <w:numPr>
          <w:ilvl w:val="0"/>
          <w:numId w:val="11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Smluvní strany mohou od smlouvy odstoupit po vzájemné dohodě do 7 dnů před započetím prací a to písemnou formou.</w:t>
      </w:r>
    </w:p>
    <w:p>
      <w:pPr>
        <w:pStyle w:val="Normal"/>
        <w:numPr>
          <w:ilvl w:val="0"/>
          <w:numId w:val="11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Pokud budou práce na díle již zahájeny, zhotovitel se zavazuje práce dokončit sám nebo zajistí dokončení u jiné firmy. V tom případě zůstává za splnění předmětu díla odpovědný.</w:t>
      </w:r>
    </w:p>
    <w:p>
      <w:pPr>
        <w:pStyle w:val="Normal"/>
        <w:numPr>
          <w:ilvl w:val="0"/>
          <w:numId w:val="11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Plnou odpovědnost přebírá i za škody, které by z důvodu přerušení nebo nedokončení prací vznikly.</w:t>
      </w:r>
    </w:p>
    <w:p>
      <w:pPr>
        <w:pStyle w:val="Normal"/>
        <w:numPr>
          <w:ilvl w:val="0"/>
          <w:numId w:val="11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Smlouva se vyhotovuje ve čtyřech stejnopisech, z nichž každá ze smluvních stran obdrží dvě vyhotovení. Každý z výtisků má platnost originálu.</w:t>
      </w:r>
    </w:p>
    <w:p>
      <w:pPr>
        <w:pStyle w:val="Normal"/>
        <w:numPr>
          <w:ilvl w:val="0"/>
          <w:numId w:val="11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Smlouva nabývá platnosti a účinnosti současným podpisem oprávněných zástupců obou smluvních stran.</w:t>
      </w:r>
    </w:p>
    <w:p>
      <w:pPr>
        <w:pStyle w:val="Normal"/>
        <w:numPr>
          <w:ilvl w:val="0"/>
          <w:numId w:val="11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Obě strany prohlašují, že obsahu smlouvy rozumí, že odpovídá jejich svobodné vůli. Byla uzavřena dobrovolně, nikoliv v tísni což stvrzují vlastnoručními podpisy.</w:t>
      </w:r>
    </w:p>
    <w:p>
      <w:pPr>
        <w:pStyle w:val="Normal"/>
        <w:numPr>
          <w:ilvl w:val="0"/>
          <w:numId w:val="11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Tato smlouva nabývá platnosti dnem podpisu oběma smluvními stranami a účinnosti dnem zveřejnění v Registru smluv.</w:t>
      </w:r>
    </w:p>
    <w:p>
      <w:pPr>
        <w:pStyle w:val="Normal"/>
        <w:ind w:left="360" w:hanging="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left="360" w:hanging="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 xml:space="preserve">V Hamr na Jezeře dne :                                      </w:t>
      </w:r>
      <w:r>
        <w:rPr>
          <w:rFonts w:cs="Arial" w:ascii="Arial" w:hAnsi="Arial"/>
          <w:color w:val="FF0000"/>
        </w:rPr>
        <w:t>V ……………... Dne : ……………..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eastAsia="Arial" w:cs="Arial" w:ascii="Arial" w:hAnsi="Arial"/>
        </w:rPr>
        <w:t xml:space="preserve">        </w:t>
      </w:r>
      <w:r>
        <w:rPr>
          <w:rFonts w:cs="Arial" w:ascii="Arial" w:hAnsi="Arial"/>
        </w:rPr>
        <w:t>……………………………………</w:t>
      </w:r>
      <w:r>
        <w:rPr>
          <w:rFonts w:cs="Arial" w:ascii="Arial" w:hAnsi="Arial"/>
        </w:rPr>
        <w:t>.                           ……………………………….</w:t>
      </w:r>
    </w:p>
    <w:p>
      <w:pPr>
        <w:pStyle w:val="Normal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           </w:t>
      </w:r>
      <w:r>
        <w:rPr>
          <w:rFonts w:cs="Arial" w:ascii="Arial" w:hAnsi="Arial"/>
        </w:rPr>
        <w:t xml:space="preserve">OBJEDNATEL                                                            ZHOTOVITEL                   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Tahoma-Bold">
    <w:charset w:val="ee"/>
    <w:family w:val="roman"/>
    <w:pitch w:val="variable"/>
  </w:font>
  <w:font w:name="Cambria">
    <w:charset w:val="ee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5000" w:type="pct"/>
      <w:jc w:val="left"/>
      <w:tblInd w:w="-108" w:type="dxa"/>
      <w:tblBorders>
        <w:bottom w:val="single" w:sz="4" w:space="0" w:color="4F81BD"/>
        <w:insideH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Grid>
      <w:gridCol w:w="3954"/>
      <w:gridCol w:w="1161"/>
      <w:gridCol w:w="3957"/>
    </w:tblGrid>
    <w:tr>
      <w:trPr>
        <w:trHeight w:val="151" w:hRule="atLeast"/>
      </w:trPr>
      <w:tc>
        <w:tcPr>
          <w:tcW w:w="3954" w:type="dxa"/>
          <w:tcBorders>
            <w:bottom w:val="single" w:sz="4" w:space="0" w:color="4F81BD"/>
            <w:insideH w:val="single" w:sz="4" w:space="0" w:color="4F81BD"/>
          </w:tcBorders>
          <w:shd w:fill="auto" w:val="clear"/>
        </w:tcPr>
        <w:p>
          <w:pPr>
            <w:pStyle w:val="Zhlav"/>
            <w:snapToGrid w:val="false"/>
            <w:rPr>
              <w:rFonts w:ascii="Cambria" w:hAnsi="Cambria" w:cs="Cambria"/>
              <w:b/>
              <w:b/>
              <w:bCs/>
            </w:rPr>
          </w:pPr>
          <w:r>
            <w:rPr>
              <w:rFonts w:cs="Cambria" w:ascii="Cambria" w:hAnsi="Cambria"/>
              <w:b/>
              <w:bCs/>
            </w:rPr>
          </w:r>
        </w:p>
      </w:tc>
      <w:tc>
        <w:tcPr>
          <w:tcW w:w="1161" w:type="dxa"/>
          <w:vMerge w:val="restart"/>
          <w:tcBorders>
            <w:bottom w:val="single" w:sz="4" w:space="0" w:color="4F81BD"/>
            <w:insideH w:val="single" w:sz="4" w:space="0" w:color="4F81BD"/>
          </w:tcBorders>
          <w:shd w:fill="auto" w:val="clear"/>
          <w:vAlign w:val="center"/>
        </w:tcPr>
        <w:p>
          <w:pPr>
            <w:pStyle w:val="Bezmezer"/>
            <w:rPr/>
          </w:pPr>
          <w:r>
            <w:rPr>
              <w:rFonts w:cs="Cambria" w:ascii="Cambria" w:hAnsi="Cambria"/>
              <w:b/>
              <w:bCs/>
            </w:rPr>
            <w:t xml:space="preserve">Stránka </w:t>
          </w:r>
          <w:r>
            <w:rPr/>
            <w:fldChar w:fldCharType="begin"/>
          </w:r>
          <w:r>
            <w:rPr/>
            <w:instrText> PAGE </w:instrText>
          </w:r>
          <w:r>
            <w:rPr/>
            <w:fldChar w:fldCharType="separate"/>
          </w:r>
          <w:r>
            <w:rPr/>
            <w:t>4</w:t>
          </w:r>
          <w:r>
            <w:rPr/>
            <w:fldChar w:fldCharType="end"/>
          </w:r>
        </w:p>
      </w:tc>
      <w:tc>
        <w:tcPr>
          <w:tcW w:w="3957" w:type="dxa"/>
          <w:tcBorders>
            <w:bottom w:val="single" w:sz="4" w:space="0" w:color="4F81BD"/>
            <w:insideH w:val="single" w:sz="4" w:space="0" w:color="4F81BD"/>
          </w:tcBorders>
          <w:shd w:fill="auto" w:val="clear"/>
        </w:tcPr>
        <w:p>
          <w:pPr>
            <w:pStyle w:val="Zhlav"/>
            <w:snapToGrid w:val="false"/>
            <w:rPr>
              <w:rFonts w:ascii="Cambria" w:hAnsi="Cambria" w:cs="Cambria"/>
              <w:b/>
              <w:b/>
              <w:bCs/>
            </w:rPr>
          </w:pPr>
          <w:r>
            <w:rPr>
              <w:rFonts w:cs="Cambria" w:ascii="Cambria" w:hAnsi="Cambria"/>
              <w:b/>
              <w:bCs/>
            </w:rPr>
          </w:r>
        </w:p>
      </w:tc>
    </w:tr>
    <w:tr>
      <w:trPr>
        <w:trHeight w:val="150" w:hRule="atLeast"/>
      </w:trPr>
      <w:tc>
        <w:tcPr>
          <w:tcW w:w="3954" w:type="dxa"/>
          <w:tcBorders>
            <w:top w:val="single" w:sz="4" w:space="0" w:color="4F81BD"/>
            <w:bottom w:val="single" w:sz="4" w:space="0" w:color="4F81BD"/>
            <w:insideH w:val="single" w:sz="4" w:space="0" w:color="4F81BD"/>
          </w:tcBorders>
          <w:shd w:fill="auto" w:val="clear"/>
        </w:tcPr>
        <w:p>
          <w:pPr>
            <w:pStyle w:val="Zhlav"/>
            <w:snapToGrid w:val="false"/>
            <w:rPr>
              <w:rFonts w:ascii="Cambria" w:hAnsi="Cambria" w:cs="Cambria"/>
              <w:b/>
              <w:b/>
              <w:bCs/>
            </w:rPr>
          </w:pPr>
          <w:r>
            <w:rPr>
              <w:rFonts w:cs="Cambria" w:ascii="Cambria" w:hAnsi="Cambria"/>
              <w:b/>
              <w:bCs/>
            </w:rPr>
          </w:r>
        </w:p>
      </w:tc>
      <w:tc>
        <w:tcPr>
          <w:tcW w:w="1161" w:type="dxa"/>
          <w:vMerge w:val="continue"/>
          <w:tcBorders>
            <w:top w:val="single" w:sz="4" w:space="0" w:color="4F81BD"/>
            <w:bottom w:val="single" w:sz="4" w:space="0" w:color="4F81BD"/>
            <w:insideH w:val="single" w:sz="4" w:space="0" w:color="4F81BD"/>
          </w:tcBorders>
          <w:shd w:fill="auto" w:val="clear"/>
          <w:vAlign w:val="center"/>
        </w:tcPr>
        <w:p>
          <w:pPr>
            <w:pStyle w:val="Zhlav"/>
            <w:snapToGrid w:val="false"/>
            <w:jc w:val="center"/>
            <w:rPr>
              <w:rFonts w:ascii="Cambria" w:hAnsi="Cambria" w:cs="Cambria"/>
              <w:b/>
              <w:b/>
              <w:bCs/>
            </w:rPr>
          </w:pPr>
          <w:r>
            <w:rPr>
              <w:rFonts w:cs="Cambria" w:ascii="Cambria" w:hAnsi="Cambria"/>
              <w:b/>
              <w:bCs/>
            </w:rPr>
          </w:r>
        </w:p>
      </w:tc>
      <w:tc>
        <w:tcPr>
          <w:tcW w:w="3957" w:type="dxa"/>
          <w:tcBorders>
            <w:top w:val="single" w:sz="4" w:space="0" w:color="4F81BD"/>
            <w:bottom w:val="single" w:sz="4" w:space="0" w:color="4F81BD"/>
            <w:insideH w:val="single" w:sz="4" w:space="0" w:color="4F81BD"/>
          </w:tcBorders>
          <w:shd w:fill="auto" w:val="clear"/>
        </w:tcPr>
        <w:p>
          <w:pPr>
            <w:pStyle w:val="Zhlav"/>
            <w:snapToGrid w:val="false"/>
            <w:rPr>
              <w:rFonts w:ascii="Cambria" w:hAnsi="Cambria" w:cs="Cambria"/>
              <w:b/>
              <w:b/>
              <w:bCs/>
            </w:rPr>
          </w:pPr>
          <w:r>
            <w:rPr>
              <w:rFonts w:cs="Cambria" w:ascii="Cambria" w:hAnsi="Cambria"/>
              <w:b/>
              <w:bCs/>
            </w:rPr>
          </w:r>
        </w:p>
      </w:tc>
    </w:tr>
  </w:tbl>
  <w:p>
    <w:pPr>
      <w:pStyle w:val="Zpat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dpis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bullet"/>
      <w:lvlText w:val=""/>
      <w:lvlJc w:val="left"/>
      <w:pPr>
        <w:ind w:left="786" w:hanging="360"/>
      </w:pPr>
      <w:rPr>
        <w:rFonts w:ascii="Wingdings" w:hAnsi="Wingdings" w:cs="Wingdings" w:hint="default"/>
        <w:b/>
        <w:rFonts w:cs="Wingdings"/>
      </w:rPr>
    </w:lvl>
    <w:lvl w:ilvl="1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  <w:rFonts w:cs="Wingdings"/>
      </w:rPr>
    </w:lvl>
    <w:lvl w:ilvl="2">
      <w:start w:val="1"/>
      <w:numFmt w:val="bullet"/>
      <w:lvlText w:val=""/>
      <w:lvlJc w:val="left"/>
      <w:pPr>
        <w:ind w:left="1506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1866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"/>
      <w:lvlJc w:val="left"/>
      <w:pPr>
        <w:ind w:left="2226" w:hanging="360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"/>
      <w:lvlJc w:val="left"/>
      <w:pPr>
        <w:ind w:left="2586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"/>
      <w:lvlJc w:val="left"/>
      <w:pPr>
        <w:ind w:left="2946" w:hanging="360"/>
      </w:pPr>
      <w:rPr>
        <w:rFonts w:ascii="Wingdings" w:hAnsi="Wingdings" w:cs="Wingdings" w:hint="default"/>
        <w:rFonts w:cs="Wingdings"/>
      </w:rPr>
    </w:lvl>
    <w:lvl w:ilvl="7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"/>
      <w:lvlJc w:val="left"/>
      <w:pPr>
        <w:ind w:left="3666" w:hanging="360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false"/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szCs w:val="20"/>
        <w:rFonts w:ascii="Arial" w:hAnsi="Arial" w:cs="Aria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Cs w:val="20"/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Cs w:val="20"/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Cs w:val="20"/>
        <w:rFonts w:ascii="Arial" w:hAnsi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6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0"/>
        <w:szCs w:val="24"/>
        <w:lang w:val="cs-CZ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zh-CN" w:bidi="ar-SA"/>
    </w:rPr>
  </w:style>
  <w:style w:type="paragraph" w:styleId="Nadpis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rFonts w:eastAsia="Arial Unicode MS"/>
      <w:szCs w:val="20"/>
    </w:rPr>
  </w:style>
  <w:style w:type="character" w:styleId="WW8Num1z0">
    <w:name w:val="WW8Num1z0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cs="Arial"/>
    </w:rPr>
  </w:style>
  <w:style w:type="character" w:styleId="WW8Num3z0">
    <w:name w:val="WW8Num3z0"/>
    <w:qFormat/>
    <w:rPr>
      <w:rFonts w:ascii="Arial" w:hAnsi="Arial" w:cs="Arial"/>
      <w:szCs w:val="20"/>
    </w:rPr>
  </w:style>
  <w:style w:type="character" w:styleId="WW8Num4z0">
    <w:name w:val="WW8Num4z0"/>
    <w:qFormat/>
    <w:rPr>
      <w:szCs w:val="20"/>
    </w:rPr>
  </w:style>
  <w:style w:type="character" w:styleId="WW8Num5z0">
    <w:name w:val="WW8Num5z0"/>
    <w:qFormat/>
    <w:rPr>
      <w:rFonts w:cs="Arial"/>
      <w:i w:val="false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Times New Roman" w:hAnsi="Times New Roman" w:eastAsia="Times New Roman" w:cs="Times New Roman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Arial" w:hAnsi="Arial" w:cs="Arial"/>
      <w:szCs w:val="20"/>
    </w:rPr>
  </w:style>
  <w:style w:type="character" w:styleId="WW8Num9z0">
    <w:name w:val="WW8Num9z0"/>
    <w:qFormat/>
    <w:rPr/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/>
  </w:style>
  <w:style w:type="character" w:styleId="WW8Num10z1">
    <w:name w:val="WW8Num10z1"/>
    <w:qFormat/>
    <w:rPr>
      <w:rFonts w:cs="Arial"/>
    </w:rPr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Arial" w:hAnsi="Arial" w:cs="Arial"/>
      <w:color w:val="000000"/>
      <w:szCs w:val="20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Standardnpsmoodstavce">
    <w:name w:val="Standardní písmo odstavce"/>
    <w:qFormat/>
    <w:rPr/>
  </w:style>
  <w:style w:type="character" w:styleId="Slostrnky">
    <w:name w:val="Číslo stránky"/>
    <w:basedOn w:val="Standardnpsmoodstavce"/>
    <w:rPr/>
  </w:style>
  <w:style w:type="character" w:styleId="ZhlavChar">
    <w:name w:val="Záhlaví Char"/>
    <w:qFormat/>
    <w:rPr>
      <w:sz w:val="24"/>
      <w:szCs w:val="24"/>
    </w:rPr>
  </w:style>
  <w:style w:type="character" w:styleId="ZpatChar">
    <w:name w:val="Zápatí Char"/>
    <w:qFormat/>
    <w:rPr>
      <w:sz w:val="24"/>
      <w:szCs w:val="24"/>
    </w:rPr>
  </w:style>
  <w:style w:type="character" w:styleId="BezmezerChar">
    <w:name w:val="Bez mezer Char"/>
    <w:qFormat/>
    <w:rPr>
      <w:rFonts w:ascii="Calibri" w:hAnsi="Calibri" w:cs="Calibri"/>
      <w:sz w:val="22"/>
      <w:szCs w:val="22"/>
    </w:rPr>
  </w:style>
  <w:style w:type="character" w:styleId="ZkladntextodsazenChar">
    <w:name w:val="Základní text odsazený Char"/>
    <w:qFormat/>
    <w:rPr>
      <w:sz w:val="24"/>
    </w:rPr>
  </w:style>
  <w:style w:type="character" w:styleId="Zdraznn">
    <w:name w:val="Zdůraznění"/>
    <w:qFormat/>
    <w:rPr>
      <w:i/>
      <w:iCs/>
    </w:rPr>
  </w:style>
  <w:style w:type="character" w:styleId="ListLabel1">
    <w:name w:val="ListLabel 1"/>
    <w:qFormat/>
    <w:rPr>
      <w:rFonts w:ascii="Arial" w:hAnsi="Arial" w:cs="Wingdings"/>
      <w:b/>
    </w:rPr>
  </w:style>
  <w:style w:type="character" w:styleId="ListLabel2">
    <w:name w:val="ListLabel 2"/>
    <w:qFormat/>
    <w:rPr>
      <w:rFonts w:cs="Wingdings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Arial"/>
    </w:rPr>
  </w:style>
  <w:style w:type="character" w:styleId="ListLabel11">
    <w:name w:val="ListLabel 11"/>
    <w:qFormat/>
    <w:rPr>
      <w:rFonts w:cs="Arial"/>
      <w:szCs w:val="20"/>
    </w:rPr>
  </w:style>
  <w:style w:type="character" w:styleId="ListLabel12">
    <w:name w:val="ListLabel 12"/>
    <w:qFormat/>
    <w:rPr>
      <w:szCs w:val="20"/>
    </w:rPr>
  </w:style>
  <w:style w:type="character" w:styleId="ListLabel13">
    <w:name w:val="ListLabel 13"/>
    <w:qFormat/>
    <w:rPr>
      <w:rFonts w:ascii="Arial" w:hAnsi="Arial" w:cs="Arial"/>
      <w:i w:val="false"/>
    </w:rPr>
  </w:style>
  <w:style w:type="character" w:styleId="ListLabel14">
    <w:name w:val="ListLabel 14"/>
    <w:qFormat/>
    <w:rPr>
      <w:rFonts w:cs="Arial"/>
      <w:szCs w:val="20"/>
    </w:rPr>
  </w:style>
  <w:style w:type="character" w:styleId="ListLabel15">
    <w:name w:val="ListLabel 15"/>
    <w:qFormat/>
    <w:rPr>
      <w:rFonts w:cs="Arial"/>
    </w:rPr>
  </w:style>
  <w:style w:type="character" w:styleId="ListLabel16">
    <w:name w:val="ListLabel 16"/>
    <w:qFormat/>
    <w:rPr>
      <w:rFonts w:cs="Arial"/>
      <w:color w:val="000000"/>
      <w:szCs w:val="20"/>
    </w:rPr>
  </w:style>
  <w:style w:type="character" w:styleId="ListLabel17">
    <w:name w:val="ListLabel 17"/>
    <w:qFormat/>
    <w:rPr>
      <w:rFonts w:ascii="Arial" w:hAnsi="Arial" w:cs="Arial"/>
      <w:color w:val="000000"/>
      <w:szCs w:val="20"/>
    </w:rPr>
  </w:style>
  <w:style w:type="character" w:styleId="ListLabel18">
    <w:name w:val="ListLabel 18"/>
    <w:qFormat/>
    <w:rPr>
      <w:rFonts w:ascii="Arial" w:hAnsi="Arial" w:cs="Arial"/>
      <w:szCs w:val="20"/>
    </w:rPr>
  </w:style>
  <w:style w:type="character" w:styleId="ListLabel19">
    <w:name w:val="ListLabel 19"/>
    <w:qFormat/>
    <w:rPr>
      <w:rFonts w:ascii="Arial" w:hAnsi="Arial" w:cs="Arial"/>
      <w:szCs w:val="20"/>
    </w:rPr>
  </w:style>
  <w:style w:type="character" w:styleId="ListLabel20">
    <w:name w:val="ListLabel 20"/>
    <w:qFormat/>
    <w:rPr>
      <w:rFonts w:ascii="Arial" w:hAnsi="Arial"/>
      <w:szCs w:val="20"/>
    </w:rPr>
  </w:style>
  <w:style w:type="character" w:styleId="ListLabel21">
    <w:name w:val="ListLabel 21"/>
    <w:qFormat/>
    <w:rPr>
      <w:rFonts w:ascii="Arial" w:hAnsi="Arial" w:cs="Arial"/>
    </w:rPr>
  </w:style>
  <w:style w:type="character" w:styleId="ListLabel22">
    <w:name w:val="ListLabel 22"/>
    <w:qFormat/>
    <w:rPr>
      <w:rFonts w:ascii="Arial" w:hAnsi="Arial" w:cs="Arial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pPr>
      <w:jc w:val="both"/>
    </w:pPr>
    <w:rPr>
      <w:szCs w:val="20"/>
    </w:rPr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</w:rPr>
  </w:style>
  <w:style w:type="paragraph" w:styleId="Odsazentlatextu">
    <w:name w:val="Body Text Indent"/>
    <w:basedOn w:val="Normal"/>
    <w:pPr>
      <w:ind w:left="705" w:hanging="345"/>
      <w:jc w:val="both"/>
    </w:pPr>
    <w:rPr>
      <w:szCs w:val="20"/>
    </w:rPr>
  </w:style>
  <w:style w:type="paragraph" w:styleId="Zpat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xtbubliny">
    <w:name w:val="Text bubliny"/>
    <w:basedOn w:val="Normal"/>
    <w:qFormat/>
    <w:pPr/>
    <w:rPr>
      <w:rFonts w:ascii="Tahoma" w:hAnsi="Tahoma" w:cs="Tahoma"/>
      <w:sz w:val="16"/>
      <w:szCs w:val="16"/>
    </w:rPr>
  </w:style>
  <w:style w:type="paragraph" w:styleId="Zhlav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ezmezer">
    <w:name w:val="Bez mezer"/>
    <w:qFormat/>
    <w:pPr>
      <w:widowControl/>
      <w:bidi w:val="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cs-CZ" w:eastAsia="zh-CN" w:bidi="ar-SA"/>
    </w:rPr>
  </w:style>
  <w:style w:type="paragraph" w:styleId="Obsahtabulky">
    <w:name w:val="Obsah tabulky"/>
    <w:basedOn w:val="Normal"/>
    <w:qFormat/>
    <w:pPr>
      <w:suppressLineNumbers/>
    </w:pPr>
    <w:rPr/>
  </w:style>
  <w:style w:type="paragraph" w:styleId="Nadpistabulky">
    <w:name w:val="Nadpis tabulky"/>
    <w:basedOn w:val="Obsahtabulky"/>
    <w:qFormat/>
    <w:pPr>
      <w:suppressLineNumbers/>
      <w:jc w:val="center"/>
    </w:pPr>
    <w:rPr>
      <w:b/>
      <w:bCs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LibreOffice/6.1.3.2$Windows_X86_64 LibreOffice_project/86daf60bf00efa86ad547e59e09d6bb77c699acb</Application>
  <Pages>6</Pages>
  <Words>1008</Words>
  <Characters>5590</Characters>
  <CharactersWithSpaces>7040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2018-07-24T12:46:00Z</dcterms:created>
  <dc:creator>Kolarikova</dc:creator>
  <dc:description/>
  <dc:language>cs-CZ</dc:language>
  <cp:lastModifiedBy/>
  <cp:lastPrinted>2012-07-25T07:46:00Z</cp:lastPrinted>
  <dcterms:modified xsi:type="dcterms:W3CDTF">2019-10-24T10:44:28Z</dcterms:modified>
  <cp:revision>6</cp:revision>
  <dc:subject/>
  <dc:title/>
</cp:coreProperties>
</file>